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1" w:name="brimbank-profile"/>
    <w:p>
      <w:pPr>
        <w:pStyle w:val="Heading1"/>
      </w:pPr>
      <w:r>
        <w:t xml:space="preserve">Brimbank Profile</w:t>
      </w:r>
    </w:p>
    <w:p>
      <w:pPr>
        <w:pStyle w:val="FirstParagraph"/>
      </w:pPr>
      <w:r>
        <w:t xml:space="preserve">Report generated on 02 January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123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193,146          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Brimbank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37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102,646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1528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6.7%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Brimbank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Victoria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21,480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617,930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10,515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299,680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6,425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195,705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8,140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173,590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$45,981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$11,777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92,577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1,610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13,472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Transport, Postal and Warehousing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1,343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13,299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Wholesale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1,272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13,242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1,196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Transport, Postal and Warehousing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10,493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790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7,901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19,500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19,895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1037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1037 - Victorian Floods (commencing 6 October 2022)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ABCD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50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Community Sports and RecClub ($5,000)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86,928.87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79,218</w:t>
            </w:r>
          </w:p>
        </w:tc>
      </w:tr>
      <w:tr>
        <w:trPr>
          <w:trHeight w:val="360" w:hRule="auto"/>
        </w:trPr>
        body5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$200K Medium-Large Business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Freight Subsidy to Primary Producer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body8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body9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Rural Landholder ($25,000)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Start w:id="37" w:name="section-8"/>
    <w:p>
      <w:pPr>
        <w:pStyle w:val="Heading5"/>
      </w:pPr>
    </w:p>
    <w:bookmarkEnd w:id="37"/>
    <w:bookmarkStart w:id="38" w:name="section-9"/>
    <w:p>
      <w:pPr>
        <w:pStyle w:val="Heading5"/>
      </w:pPr>
    </w:p>
    <w:p>
      <w:r>
        <w:br w:type="page"/>
      </w:r>
    </w:p>
    <w:bookmarkEnd w:id="38"/>
    <w:bookmarkStart w:id="49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9"/>
    <w:bookmarkEnd w:id="50"/>
    <w:bookmarkEnd w:id="51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2025-01-02T01:43:23Z</dcterms:created>
  <dcterms:modified xsi:type="dcterms:W3CDTF">2025-01-02T01:43:23Z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